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360" w:lineRule="auto"/>
        <w:rPr>
          <w:rFonts w:ascii="Arial" w:hAnsi="Arial" w:cs="Arial"/>
          <w:sz w:val="24"/>
          <w:szCs w:val="24"/>
          <w:highlight w:val="none"/>
          <w:lang w:eastAsia="zh-CN"/>
        </w:rPr>
      </w:pPr>
    </w:p>
    <w:p>
      <w:pPr>
        <w:spacing w:before="44" w:after="0" w:line="360" w:lineRule="auto"/>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360" w:lineRule="auto"/>
        <w:rPr>
          <w:rFonts w:ascii="Arial" w:hAnsi="Arial" w:cs="Arial"/>
          <w:sz w:val="24"/>
          <w:szCs w:val="24"/>
          <w:highlight w:val="none"/>
        </w:rPr>
      </w:pPr>
    </w:p>
    <w:p>
      <w:pPr>
        <w:spacing w:after="0" w:line="36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360" w:lineRule="auto"/>
        <w:rPr>
          <w:rFonts w:ascii="Arial" w:hAnsi="Arial" w:cs="Arial"/>
          <w:sz w:val="24"/>
          <w:szCs w:val="24"/>
          <w:highlight w:val="none"/>
        </w:rPr>
      </w:pPr>
    </w:p>
    <w:p>
      <w:pPr>
        <w:pStyle w:val="11"/>
        <w:spacing w:line="360" w:lineRule="auto"/>
        <w:ind w:firstLine="880" w:firstLineChars="400"/>
        <w:rPr>
          <w:rFonts w:ascii="Arial" w:hAnsi="Arial" w:cs="Arial"/>
          <w:sz w:val="22"/>
          <w:highlight w:val="none"/>
        </w:rPr>
      </w:pPr>
      <w:r>
        <w:rPr>
          <w:rFonts w:hint="eastAsia" w:ascii="Arial" w:hAnsi="Arial" w:cs="Arial"/>
          <w:sz w:val="22"/>
          <w:lang w:val="en-US" w:eastAsia="zh-CN"/>
        </w:rPr>
        <w:t>HR</w:t>
      </w:r>
      <w:r>
        <w:rPr>
          <w:rFonts w:hint="eastAsia" w:ascii="Arial" w:hAnsi="Arial" w:cs="Arial"/>
          <w:sz w:val="22"/>
        </w:rPr>
        <w:t>-</w:t>
      </w:r>
      <w:r>
        <w:rPr>
          <w:rFonts w:hint="eastAsia" w:ascii="Arial" w:hAnsi="Arial" w:cs="Arial"/>
          <w:sz w:val="22"/>
          <w:lang w:val="en-US" w:eastAsia="zh-CN"/>
        </w:rPr>
        <w:t>208-20</w:t>
      </w:r>
      <w:r>
        <w:rPr>
          <w:rFonts w:hint="eastAsia" w:ascii="Arial" w:hAnsi="Arial" w:cs="Arial"/>
          <w:sz w:val="22"/>
        </w:rPr>
        <w:t xml:space="preserve"> </w:t>
      </w:r>
      <w:r>
        <w:rPr>
          <w:rFonts w:hint="eastAsia" w:ascii="Arial" w:hAnsi="Arial" w:cs="Arial"/>
          <w:sz w:val="22"/>
          <w:lang w:val="en-US" w:eastAsia="zh-CN"/>
        </w:rPr>
        <w:t xml:space="preserve"> ; </w:t>
      </w:r>
      <w:r>
        <w:rPr>
          <w:rFonts w:hint="eastAsia" w:ascii="Arial" w:hAnsi="Arial" w:cs="Arial"/>
          <w:sz w:val="22"/>
        </w:rPr>
        <w:t xml:space="preserve">2:1 Fast Drying Clear Coat  </w:t>
      </w:r>
    </w:p>
    <w:p>
      <w:pPr>
        <w:pStyle w:val="11"/>
        <w:spacing w:line="360" w:lineRule="auto"/>
        <w:rPr>
          <w:rFonts w:ascii="Arial" w:hAnsi="Arial" w:cs="Arial"/>
          <w:sz w:val="22"/>
          <w:highlight w:val="none"/>
        </w:rPr>
      </w:pPr>
      <w:r>
        <w:rPr>
          <w:rFonts w:hint="eastAsia" w:ascii="Arial" w:hAnsi="Arial" w:cs="Arial"/>
          <w:sz w:val="22"/>
          <w:highlight w:val="none"/>
        </w:rPr>
        <w:t xml:space="preserve">        </w:t>
      </w:r>
      <w:r>
        <w:rPr>
          <w:rFonts w:hint="eastAsia" w:ascii="Arial" w:hAnsi="Arial" w:cs="Arial"/>
          <w:sz w:val="22"/>
          <w:highlight w:val="none"/>
          <w:lang w:val="en-US" w:eastAsia="zh-CN"/>
        </w:rPr>
        <w:t xml:space="preserve">   </w:t>
      </w:r>
      <w:r>
        <w:rPr>
          <w:rFonts w:hint="eastAsia" w:ascii="Arial" w:hAnsi="Arial" w:cs="Arial"/>
          <w:sz w:val="22"/>
          <w:highlight w:val="none"/>
        </w:rPr>
        <w:t xml:space="preserve">   </w:t>
      </w:r>
      <w:r>
        <w:rPr>
          <w:rFonts w:ascii="Arial" w:hAnsi="Arial" w:cs="Arial"/>
          <w:sz w:val="22"/>
          <w:highlight w:val="none"/>
        </w:rPr>
        <w:t xml:space="preserve">1L， 5L </w:t>
      </w:r>
    </w:p>
    <w:p>
      <w:pPr>
        <w:spacing w:before="13" w:after="0" w:line="360" w:lineRule="auto"/>
        <w:rPr>
          <w:rFonts w:ascii="Arial" w:hAnsi="Arial" w:cs="Arial"/>
          <w:sz w:val="24"/>
          <w:szCs w:val="24"/>
          <w:highlight w:val="none"/>
        </w:rPr>
      </w:pPr>
      <w:bookmarkStart w:id="0" w:name="_GoBack"/>
      <w:bookmarkEnd w:id="0"/>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5"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2"/>
                <w:szCs w:val="22"/>
                <w:u w:val="none"/>
                <w:lang w:val="en-US" w:eastAsia="zh-CN" w:bidi="ar"/>
              </w:rPr>
            </w:pPr>
            <w:r>
              <w:rPr>
                <w:rFonts w:hint="eastAsia" w:ascii="Arial" w:hAnsi="Arial" w:cs="Arial"/>
                <w:b/>
                <w:sz w:val="24"/>
                <w:szCs w:val="24"/>
                <w:highlight w:val="none"/>
                <w:lang w:val="en-US"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Acrylic Resin</w:t>
            </w:r>
          </w:p>
        </w:tc>
        <w:tc>
          <w:tcPr>
            <w:tcW w:w="3625" w:type="dxa"/>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ab/>
            </w:r>
            <w:r>
              <w:rPr>
                <w:rFonts w:hint="default" w:ascii="Times New Roman" w:hAnsi="Times New Roman" w:eastAsia="宋体" w:cs="Times New Roman"/>
                <w:i w:val="0"/>
                <w:color w:val="000000"/>
                <w:kern w:val="0"/>
                <w:sz w:val="22"/>
                <w:szCs w:val="22"/>
                <w:u w:val="none"/>
                <w:lang w:val="en-US" w:eastAsia="zh-CN" w:bidi="ar"/>
              </w:rPr>
              <w:t>65-70</w:t>
            </w:r>
          </w:p>
        </w:tc>
        <w:tc>
          <w:tcPr>
            <w:tcW w:w="3626" w:type="dxa"/>
            <w:shd w:val="clear" w:color="auto" w:fill="auto"/>
            <w:vAlign w:val="bottom"/>
          </w:tcPr>
          <w:p>
            <w:pPr>
              <w:keepNext w:val="0"/>
              <w:keepLines w:val="0"/>
              <w:widowControl/>
              <w:suppressLineNumbers w:val="0"/>
              <w:jc w:val="center"/>
              <w:textAlignment w:val="bottom"/>
              <w:rPr>
                <w:rFonts w:ascii="Arial" w:hAnsi="Arial" w:cs="Arial"/>
                <w:sz w:val="24"/>
                <w:szCs w:val="24"/>
                <w:highlight w:val="none"/>
                <w:lang w:eastAsia="zh-CN"/>
              </w:rPr>
            </w:pPr>
            <w:r>
              <w:rPr>
                <w:rFonts w:hint="default" w:ascii="Times New Roman" w:hAnsi="Times New Roman" w:eastAsia="宋体" w:cs="Times New Roman"/>
                <w:i w:val="0"/>
                <w:color w:val="000000"/>
                <w:kern w:val="0"/>
                <w:sz w:val="22"/>
                <w:szCs w:val="22"/>
                <w:u w:val="none"/>
                <w:lang w:val="en-US" w:eastAsia="zh-CN" w:bidi="ar"/>
              </w:rPr>
              <w:t>79-10-7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Auxiliary Agent</w:t>
            </w:r>
          </w:p>
        </w:tc>
        <w:tc>
          <w:tcPr>
            <w:tcW w:w="3625" w:type="dxa"/>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1-2</w:t>
            </w:r>
          </w:p>
        </w:tc>
        <w:tc>
          <w:tcPr>
            <w:tcW w:w="3626" w:type="dxa"/>
            <w:shd w:val="clear" w:color="auto" w:fill="auto"/>
            <w:vAlign w:val="bottom"/>
          </w:tcPr>
          <w:p>
            <w:pPr>
              <w:keepNext w:val="0"/>
              <w:keepLines w:val="0"/>
              <w:widowControl/>
              <w:suppressLineNumbers w:val="0"/>
              <w:jc w:val="center"/>
              <w:textAlignment w:val="bottom"/>
              <w:rPr>
                <w:rFonts w:ascii="Arial" w:hAnsi="Arial" w:cs="Arial"/>
                <w:sz w:val="24"/>
                <w:szCs w:val="24"/>
                <w:highlight w:val="none"/>
                <w:lang w:eastAsia="zh-CN"/>
              </w:rPr>
            </w:pPr>
            <w:r>
              <w:rPr>
                <w:rFonts w:hint="default" w:ascii="Times New Roman" w:hAnsi="Times New Roman" w:eastAsia="宋体" w:cs="Times New Roman"/>
                <w:i w:val="0"/>
                <w:color w:val="000000"/>
                <w:kern w:val="0"/>
                <w:sz w:val="22"/>
                <w:szCs w:val="22"/>
                <w:u w:val="none"/>
                <w:lang w:val="en-US" w:eastAsia="zh-CN" w:bidi="ar"/>
              </w:rPr>
              <w:t>9084-06-4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62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Xylene</w:t>
            </w:r>
          </w:p>
        </w:tc>
        <w:tc>
          <w:tcPr>
            <w:tcW w:w="3625" w:type="dxa"/>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10-15</w:t>
            </w:r>
          </w:p>
        </w:tc>
        <w:tc>
          <w:tcPr>
            <w:tcW w:w="3626" w:type="dxa"/>
            <w:shd w:val="clear" w:color="auto" w:fill="auto"/>
            <w:vAlign w:val="bottom"/>
          </w:tcPr>
          <w:p>
            <w:pPr>
              <w:keepNext w:val="0"/>
              <w:keepLines w:val="0"/>
              <w:widowControl/>
              <w:suppressLineNumbers w:val="0"/>
              <w:jc w:val="center"/>
              <w:textAlignment w:val="bottom"/>
              <w:rPr>
                <w:rFonts w:ascii="Arial" w:hAnsi="Arial" w:cs="Arial"/>
                <w:sz w:val="24"/>
                <w:szCs w:val="24"/>
                <w:highlight w:val="none"/>
                <w:lang w:eastAsia="zh-CN"/>
              </w:rPr>
            </w:pPr>
            <w:r>
              <w:rPr>
                <w:rFonts w:hint="default" w:ascii="Times New Roman" w:hAnsi="Times New Roman" w:eastAsia="宋体" w:cs="Times New Roman"/>
                <w:i w:val="0"/>
                <w:color w:val="000000"/>
                <w:kern w:val="0"/>
                <w:sz w:val="22"/>
                <w:szCs w:val="22"/>
                <w:u w:val="none"/>
                <w:lang w:val="en-US" w:eastAsia="zh-CN" w:bidi="ar"/>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62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2-Acetoxy-1-methoxypropane </w:t>
            </w:r>
          </w:p>
        </w:tc>
        <w:tc>
          <w:tcPr>
            <w:tcW w:w="3625" w:type="dxa"/>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2-5</w:t>
            </w:r>
          </w:p>
        </w:tc>
        <w:tc>
          <w:tcPr>
            <w:tcW w:w="3626" w:type="dxa"/>
            <w:shd w:val="clear" w:color="auto" w:fill="auto"/>
            <w:vAlign w:val="bottom"/>
          </w:tcPr>
          <w:p>
            <w:pPr>
              <w:keepNext w:val="0"/>
              <w:keepLines w:val="0"/>
              <w:widowControl/>
              <w:suppressLineNumbers w:val="0"/>
              <w:jc w:val="center"/>
              <w:textAlignment w:val="bottom"/>
              <w:rPr>
                <w:rFonts w:ascii="Arial" w:hAnsi="Arial" w:cs="Arial"/>
                <w:sz w:val="24"/>
                <w:szCs w:val="24"/>
                <w:highlight w:val="none"/>
                <w:lang w:eastAsia="zh-CN"/>
              </w:rPr>
            </w:pPr>
            <w:r>
              <w:rPr>
                <w:rFonts w:hint="default" w:ascii="Times New Roman" w:hAnsi="Times New Roman" w:eastAsia="宋体" w:cs="Times New Roman"/>
                <w:i w:val="0"/>
                <w:color w:val="000000"/>
                <w:kern w:val="0"/>
                <w:sz w:val="22"/>
                <w:szCs w:val="22"/>
                <w:u w:val="none"/>
                <w:lang w:val="en-US" w:eastAsia="zh-CN" w:bidi="ar"/>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1,2,4-Trimethylbenzene</w:t>
            </w:r>
          </w:p>
        </w:tc>
        <w:tc>
          <w:tcPr>
            <w:tcW w:w="3625" w:type="dxa"/>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5-10</w:t>
            </w:r>
          </w:p>
        </w:tc>
        <w:tc>
          <w:tcPr>
            <w:tcW w:w="3626" w:type="dxa"/>
            <w:shd w:val="clear" w:color="auto" w:fill="auto"/>
            <w:vAlign w:val="bottom"/>
          </w:tcPr>
          <w:p>
            <w:pPr>
              <w:keepNext w:val="0"/>
              <w:keepLines w:val="0"/>
              <w:widowControl/>
              <w:suppressLineNumbers w:val="0"/>
              <w:jc w:val="center"/>
              <w:textAlignment w:val="bottom"/>
              <w:rPr>
                <w:rFonts w:ascii="Times New Roman" w:hAnsi="Times New Roman"/>
                <w:highlight w:val="none"/>
                <w:lang w:eastAsia="zh-CN"/>
              </w:rPr>
            </w:pPr>
            <w:r>
              <w:rPr>
                <w:rFonts w:hint="default" w:ascii="Times New Roman" w:hAnsi="Times New Roman" w:eastAsia="宋体" w:cs="Times New Roman"/>
                <w:i w:val="0"/>
                <w:color w:val="000000"/>
                <w:kern w:val="0"/>
                <w:sz w:val="22"/>
                <w:szCs w:val="22"/>
                <w:u w:val="none"/>
                <w:lang w:val="en-US" w:eastAsia="zh-CN" w:bidi="ar"/>
              </w:rPr>
              <w:t>95-63-6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N-Butylacetate</w:t>
            </w:r>
          </w:p>
        </w:tc>
        <w:tc>
          <w:tcPr>
            <w:tcW w:w="3625" w:type="dxa"/>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5-10</w:t>
            </w:r>
          </w:p>
        </w:tc>
        <w:tc>
          <w:tcPr>
            <w:tcW w:w="3626" w:type="dxa"/>
            <w:shd w:val="clear" w:color="auto" w:fill="auto"/>
            <w:vAlign w:val="bottom"/>
          </w:tcPr>
          <w:p>
            <w:pPr>
              <w:keepNext w:val="0"/>
              <w:keepLines w:val="0"/>
              <w:widowControl/>
              <w:suppressLineNumbers w:val="0"/>
              <w:jc w:val="center"/>
              <w:textAlignment w:val="bottom"/>
              <w:rPr>
                <w:rFonts w:hint="eastAsia" w:ascii="Times New Roman" w:hAnsi="Times New Roman"/>
                <w:highlight w:val="none"/>
                <w:lang w:eastAsia="zh-CN"/>
              </w:rPr>
            </w:pPr>
            <w:r>
              <w:rPr>
                <w:rFonts w:hint="default" w:ascii="Times New Roman" w:hAnsi="Times New Roman" w:eastAsia="宋体" w:cs="Times New Roman"/>
                <w:i w:val="0"/>
                <w:color w:val="000000"/>
                <w:kern w:val="0"/>
                <w:sz w:val="22"/>
                <w:szCs w:val="22"/>
                <w:u w:val="none"/>
                <w:lang w:val="en-US" w:eastAsia="zh-CN" w:bidi="ar"/>
              </w:rPr>
              <w:t>123-86-4</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950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200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710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1-Methoxy-2-propyl acetate</w:t>
            </w: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AIHA WEEL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bl>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bl>
      <w:tblPr>
        <w:tblStyle w:val="6"/>
        <w:tblW w:w="0" w:type="auto"/>
        <w:tblInd w:w="670" w:type="dxa"/>
        <w:tblLayout w:type="fixed"/>
        <w:tblCellMar>
          <w:top w:w="0" w:type="dxa"/>
          <w:left w:w="0" w:type="dxa"/>
          <w:bottom w:w="0" w:type="dxa"/>
          <w:right w:w="0" w:type="dxa"/>
        </w:tblCellMar>
      </w:tblPr>
      <w:tblGrid>
        <w:gridCol w:w="2800"/>
        <w:gridCol w:w="1740"/>
        <w:gridCol w:w="1060"/>
      </w:tblGrid>
      <w:tr>
        <w:tblPrEx>
          <w:tblCellMar>
            <w:top w:w="0" w:type="dxa"/>
            <w:left w:w="0" w:type="dxa"/>
            <w:bottom w:w="0" w:type="dxa"/>
            <w:right w:w="0" w:type="dxa"/>
          </w:tblCellMar>
        </w:tblPrEx>
        <w:trPr>
          <w:trHeight w:val="320" w:hRule="exact"/>
        </w:trPr>
        <w:tc>
          <w:tcPr>
            <w:tcW w:w="2800" w:type="dxa"/>
            <w:tcBorders>
              <w:top w:val="nil"/>
              <w:left w:val="nil"/>
              <w:bottom w:val="nil"/>
              <w:right w:val="nil"/>
            </w:tcBorders>
          </w:tcPr>
          <w:p>
            <w:pPr>
              <w:widowControl/>
              <w:spacing w:after="0" w:line="240" w:lineRule="auto"/>
              <w:rPr>
                <w:rFonts w:ascii="Arial" w:hAnsi="Arial" w:cs="Arial"/>
                <w:sz w:val="24"/>
                <w:szCs w:val="24"/>
                <w:highlight w:val="none"/>
                <w:lang w:eastAsia="zh-CN"/>
              </w:rPr>
            </w:pPr>
          </w:p>
          <w:p>
            <w:pPr>
              <w:widowControl/>
              <w:spacing w:after="0" w:line="240" w:lineRule="auto"/>
              <w:rPr>
                <w:rFonts w:ascii="Arial" w:hAnsi="Arial" w:cs="Arial"/>
                <w:sz w:val="24"/>
                <w:szCs w:val="24"/>
                <w:highlight w:val="none"/>
                <w:lang w:eastAsia="zh-CN"/>
              </w:rPr>
            </w:pPr>
          </w:p>
        </w:tc>
        <w:tc>
          <w:tcPr>
            <w:tcW w:w="1740" w:type="dxa"/>
            <w:tcBorders>
              <w:top w:val="nil"/>
              <w:left w:val="nil"/>
              <w:bottom w:val="nil"/>
              <w:right w:val="nil"/>
            </w:tcBorders>
          </w:tcPr>
          <w:p>
            <w:pPr>
              <w:spacing w:after="0" w:line="240" w:lineRule="auto"/>
              <w:ind w:left="685" w:right="605"/>
              <w:jc w:val="center"/>
              <w:rPr>
                <w:rFonts w:ascii="Arial" w:hAnsi="Arial" w:eastAsia="Times New Roman" w:cs="Arial"/>
                <w:sz w:val="24"/>
                <w:szCs w:val="24"/>
                <w:highlight w:val="none"/>
              </w:rPr>
            </w:pPr>
          </w:p>
        </w:tc>
        <w:tc>
          <w:tcPr>
            <w:tcW w:w="1060" w:type="dxa"/>
            <w:tcBorders>
              <w:top w:val="nil"/>
              <w:left w:val="nil"/>
              <w:bottom w:val="nil"/>
              <w:right w:val="nil"/>
            </w:tcBorders>
          </w:tcPr>
          <w:p>
            <w:pPr>
              <w:spacing w:after="0" w:line="240" w:lineRule="auto"/>
              <w:ind w:left="660" w:right="-20"/>
              <w:rPr>
                <w:rFonts w:ascii="Arial" w:hAnsi="Arial" w:eastAsia="Times New Roman" w:cs="Arial"/>
                <w:sz w:val="24"/>
                <w:szCs w:val="24"/>
                <w:highlight w:val="none"/>
              </w:rPr>
            </w:pPr>
          </w:p>
        </w:tc>
      </w:tr>
    </w:tbl>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eastAsia="zh-CN"/>
        </w:rPr>
        <w:t xml:space="preserve">Transparent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xylene (mixture of isomeres)</w:t>
      </w:r>
    </w:p>
    <w:p>
      <w:pPr>
        <w:tabs>
          <w:tab w:val="left" w:pos="2620"/>
          <w:tab w:val="left" w:pos="4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1330-20-7</w:t>
      </w:r>
      <w:r>
        <w:rPr>
          <w:rFonts w:ascii="Arial" w:hAnsi="Arial" w:eastAsia="Times New Roman" w:cs="Arial"/>
          <w:sz w:val="24"/>
          <w:szCs w:val="24"/>
          <w:highlight w:val="none"/>
        </w:rPr>
        <w:tab/>
      </w:r>
      <w:r>
        <w:rPr>
          <w:rFonts w:ascii="Arial" w:hAnsi="Arial" w:eastAsia="Times New Roman" w:cs="Arial"/>
          <w:sz w:val="24"/>
          <w:szCs w:val="24"/>
          <w:highlight w:val="none"/>
        </w:rPr>
        <w:t>OECD 301 A</w:t>
      </w:r>
      <w:r>
        <w:rPr>
          <w:rFonts w:ascii="Arial" w:hAnsi="Arial" w:eastAsia="Times New Roman" w:cs="Arial"/>
          <w:sz w:val="24"/>
          <w:szCs w:val="24"/>
          <w:highlight w:val="none"/>
        </w:rPr>
        <w:tab/>
      </w:r>
      <w:r>
        <w:rPr>
          <w:rFonts w:ascii="Arial" w:hAnsi="Arial" w:eastAsia="Times New Roman" w:cs="Arial"/>
          <w:sz w:val="24"/>
          <w:szCs w:val="24"/>
          <w:highlight w:val="none"/>
        </w:rPr>
        <w:t>readily bio-degradable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53</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53</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00" w:lineRule="exact"/>
      <w:rPr>
        <w:rFonts w:ascii="Arial" w:hAnsi="Arial" w:cs="Arial"/>
      </w:rPr>
    </w:pPr>
  </w:p>
  <w:p>
    <w:pPr>
      <w:pStyle w:val="12"/>
      <w:spacing w:line="200" w:lineRule="exact"/>
      <w:jc w:val="center"/>
      <w:rPr>
        <w:rFonts w:ascii="Arial" w:hAnsi="Arial" w:cs="Arial"/>
        <w:b/>
        <w:bCs/>
        <w:color w:val="000000"/>
        <w:sz w:val="36"/>
      </w:rPr>
    </w:pPr>
  </w:p>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1"/>
      <w:spacing w:line="480" w:lineRule="auto"/>
      <w:rPr>
        <w:rFonts w:ascii="Arial" w:hAnsi="Arial" w:cs="Arial"/>
        <w:sz w:val="22"/>
      </w:rPr>
    </w:pPr>
  </w:p>
  <w:p>
    <w:pPr>
      <w:pStyle w:val="11"/>
      <w:spacing w:line="480" w:lineRule="auto"/>
      <w:ind w:right="-98"/>
      <w:rPr>
        <w:rFonts w:hint="default" w:ascii="Arial" w:hAnsi="Arial" w:cs="Arial"/>
        <w:sz w:val="22"/>
        <w:lang w:val="en-US"/>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Name</w:t>
    </w:r>
    <w:r>
      <w:rPr>
        <w:rFonts w:ascii="Arial" w:hAnsi="Arial" w:cs="Arial"/>
        <w:sz w:val="22"/>
      </w:rPr>
      <w:t xml:space="preserve">: </w:t>
    </w:r>
    <w:r>
      <w:rPr>
        <w:rFonts w:hint="eastAsia" w:ascii="Arial" w:hAnsi="Arial" w:cs="Arial"/>
        <w:sz w:val="22"/>
        <w:lang w:val="en-US" w:eastAsia="zh-CN"/>
      </w:rPr>
      <w:t>HR</w:t>
    </w:r>
    <w:r>
      <w:rPr>
        <w:rFonts w:hint="eastAsia" w:ascii="Arial" w:hAnsi="Arial" w:cs="Arial"/>
        <w:sz w:val="22"/>
      </w:rPr>
      <w:t>-</w:t>
    </w:r>
    <w:r>
      <w:rPr>
        <w:rFonts w:hint="eastAsia" w:ascii="Arial" w:hAnsi="Arial" w:cs="Arial"/>
        <w:sz w:val="22"/>
        <w:lang w:val="en-US" w:eastAsia="zh-CN"/>
      </w:rPr>
      <w:t>208-20</w:t>
    </w:r>
    <w:r>
      <w:rPr>
        <w:rFonts w:hint="eastAsia" w:ascii="Arial" w:hAnsi="Arial" w:cs="Arial"/>
        <w:sz w:val="22"/>
      </w:rPr>
      <w:t xml:space="preserve"> </w:t>
    </w:r>
    <w:r>
      <w:rPr>
        <w:rFonts w:hint="eastAsia" w:ascii="Arial" w:hAnsi="Arial" w:cs="Arial"/>
        <w:sz w:val="22"/>
        <w:lang w:val="en-US" w:eastAsia="zh-CN"/>
      </w:rPr>
      <w:t xml:space="preserve">  </w:t>
    </w:r>
    <w:r>
      <w:rPr>
        <w:rFonts w:hint="eastAsia" w:ascii="Arial" w:hAnsi="Arial" w:cs="Arial"/>
        <w:sz w:val="22"/>
      </w:rPr>
      <w:t xml:space="preserve">2:1 Fast Drying Clear Coat        </w:t>
    </w:r>
    <w:r>
      <w:rPr>
        <w:rFonts w:hint="eastAsia" w:ascii="Arial" w:hAnsi="Arial" w:cs="Arial"/>
        <w:sz w:val="22"/>
        <w:lang w:val="en-US" w:eastAsia="zh-CN"/>
      </w:rPr>
      <w:t xml:space="preserve">   </w:t>
    </w:r>
    <w:r>
      <w:rPr>
        <w:rFonts w:hint="eastAsia" w:ascii="Arial" w:hAnsi="Arial" w:cs="Arial"/>
        <w:sz w:val="22"/>
      </w:rPr>
      <w:t>MSDS No.：SDS-2019-12-</w:t>
    </w:r>
    <w:r>
      <w:rPr>
        <w:rFonts w:hint="eastAsia" w:ascii="Arial" w:hAnsi="Arial" w:cs="Arial"/>
        <w:sz w:val="22"/>
        <w:lang w:val="en-US" w:eastAsia="zh-CN"/>
      </w:rPr>
      <w:t>HR</w:t>
    </w:r>
    <w:r>
      <w:rPr>
        <w:rFonts w:hint="eastAsia" w:ascii="Arial" w:hAnsi="Arial" w:cs="Arial"/>
        <w:sz w:val="22"/>
      </w:rPr>
      <w:t>-</w:t>
    </w:r>
    <w:r>
      <w:rPr>
        <w:rFonts w:hint="eastAsia" w:ascii="Arial" w:hAnsi="Arial" w:cs="Arial"/>
        <w:sz w:val="22"/>
        <w:lang w:val="en-US" w:eastAsia="zh-CN"/>
      </w:rPr>
      <w:t>208-20</w:t>
    </w:r>
  </w:p>
  <w:p>
    <w:pPr>
      <w:pStyle w:val="11"/>
      <w:spacing w:line="480" w:lineRule="auto"/>
      <w:rPr>
        <w:rFonts w:ascii="Arial" w:hAnsi="Arial" w:cs="Arial"/>
        <w:sz w:val="22"/>
      </w:rPr>
    </w:pPr>
    <w:r>
      <w:rPr>
        <w:rFonts w:hint="eastAsia" w:ascii="Arial" w:hAnsi="Arial" w:cs="Arial"/>
        <w:sz w:val="22"/>
      </w:rPr>
      <w:t xml:space="preserve">         </w:t>
    </w:r>
    <w:r>
      <w:rPr>
        <w:rFonts w:ascii="Arial" w:hAnsi="Arial" w:cs="Arial"/>
        <w:sz w:val="22"/>
      </w:rPr>
      <w:t xml:space="preserve">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lang w:val="en-US" w:eastAsia="zh-CN"/>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52C02"/>
    <w:rsid w:val="000A1606"/>
    <w:rsid w:val="000C6D1B"/>
    <w:rsid w:val="00102559"/>
    <w:rsid w:val="001637DA"/>
    <w:rsid w:val="001A4F6D"/>
    <w:rsid w:val="001E4E76"/>
    <w:rsid w:val="002004A1"/>
    <w:rsid w:val="00211495"/>
    <w:rsid w:val="0025252B"/>
    <w:rsid w:val="0025645E"/>
    <w:rsid w:val="0027502D"/>
    <w:rsid w:val="00296BAF"/>
    <w:rsid w:val="002A6275"/>
    <w:rsid w:val="002A7A3B"/>
    <w:rsid w:val="002B4BDE"/>
    <w:rsid w:val="00301EF9"/>
    <w:rsid w:val="003357AA"/>
    <w:rsid w:val="003E48FA"/>
    <w:rsid w:val="004318AD"/>
    <w:rsid w:val="00431B57"/>
    <w:rsid w:val="00444C13"/>
    <w:rsid w:val="00451215"/>
    <w:rsid w:val="00487682"/>
    <w:rsid w:val="004B414C"/>
    <w:rsid w:val="004E2410"/>
    <w:rsid w:val="00504A10"/>
    <w:rsid w:val="00530800"/>
    <w:rsid w:val="0053448E"/>
    <w:rsid w:val="0059411F"/>
    <w:rsid w:val="005A7210"/>
    <w:rsid w:val="005B1562"/>
    <w:rsid w:val="005E15BB"/>
    <w:rsid w:val="005E2CF6"/>
    <w:rsid w:val="006406B2"/>
    <w:rsid w:val="00755A48"/>
    <w:rsid w:val="007721CC"/>
    <w:rsid w:val="008028A7"/>
    <w:rsid w:val="0082014C"/>
    <w:rsid w:val="008214DE"/>
    <w:rsid w:val="008659A4"/>
    <w:rsid w:val="008A22F1"/>
    <w:rsid w:val="008A7AEB"/>
    <w:rsid w:val="008C33EF"/>
    <w:rsid w:val="00900859"/>
    <w:rsid w:val="009168DC"/>
    <w:rsid w:val="00934804"/>
    <w:rsid w:val="009429A1"/>
    <w:rsid w:val="0097414C"/>
    <w:rsid w:val="009842BB"/>
    <w:rsid w:val="00A00468"/>
    <w:rsid w:val="00A31615"/>
    <w:rsid w:val="00A41165"/>
    <w:rsid w:val="00A657A8"/>
    <w:rsid w:val="00A71F6B"/>
    <w:rsid w:val="00AA5A39"/>
    <w:rsid w:val="00AD4918"/>
    <w:rsid w:val="00B40D41"/>
    <w:rsid w:val="00B75AC9"/>
    <w:rsid w:val="00BF3D92"/>
    <w:rsid w:val="00C252B4"/>
    <w:rsid w:val="00C76347"/>
    <w:rsid w:val="00C77B2E"/>
    <w:rsid w:val="00CB1B3F"/>
    <w:rsid w:val="00D16F94"/>
    <w:rsid w:val="00D44E7E"/>
    <w:rsid w:val="00D86A2D"/>
    <w:rsid w:val="00DE1F5A"/>
    <w:rsid w:val="00E04D00"/>
    <w:rsid w:val="00E56648"/>
    <w:rsid w:val="00E67BE8"/>
    <w:rsid w:val="00E81C49"/>
    <w:rsid w:val="00ED1914"/>
    <w:rsid w:val="00F47380"/>
    <w:rsid w:val="00F54B8E"/>
    <w:rsid w:val="00FA591B"/>
    <w:rsid w:val="00FB6B58"/>
    <w:rsid w:val="13A50E4C"/>
    <w:rsid w:val="1C5F010C"/>
    <w:rsid w:val="2861217E"/>
    <w:rsid w:val="49AD1EDA"/>
    <w:rsid w:val="53160994"/>
    <w:rsid w:val="56D15B3C"/>
    <w:rsid w:val="58824249"/>
    <w:rsid w:val="59EF36BF"/>
    <w:rsid w:val="6AA06A2A"/>
    <w:rsid w:val="6B7D456B"/>
    <w:rsid w:val="72CF0D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320D3-AD46-4612-8047-688CF2F83CE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2944</Words>
  <Characters>17444</Characters>
  <Lines>148</Lines>
  <Paragraphs>41</Paragraphs>
  <TotalTime>1</TotalTime>
  <ScaleCrop>false</ScaleCrop>
  <LinksUpToDate>false</LinksUpToDate>
  <CharactersWithSpaces>20208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2020-01-10T07:07:00Z</dcterms:created>
  <dc:creator>JOBMASTER_SH</dc:creator>
  <cp:lastModifiedBy>波小录</cp:lastModifiedBy>
  <dcterms:modified xsi:type="dcterms:W3CDTF">2022-09-01T09:26:06Z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D81112F8C53F4BAAB045C99F7E6D8DD9</vt:lpwstr>
  </property>
</Properties>
</file>